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06" w:rsidRPr="00DC7F06" w:rsidRDefault="00DC7F06" w:rsidP="00DC7F06">
      <w:pPr>
        <w:keepNext/>
        <w:spacing w:after="0" w:line="240" w:lineRule="auto"/>
        <w:ind w:left="426" w:hanging="432"/>
        <w:outlineLvl w:val="0"/>
        <w:rPr>
          <w:rFonts w:ascii="Arial" w:eastAsia="Times New Roman" w:hAnsi="Arial" w:cs="Arial"/>
          <w:b/>
          <w:sz w:val="24"/>
          <w:szCs w:val="24"/>
        </w:rPr>
      </w:pPr>
      <w:r w:rsidRPr="00DC7F06">
        <w:rPr>
          <w:rFonts w:ascii="Arial" w:eastAsia="Times New Roman" w:hAnsi="Arial" w:cs="Arial"/>
          <w:b/>
          <w:sz w:val="24"/>
          <w:szCs w:val="24"/>
        </w:rPr>
        <w:t>Appendix 1 – Implementation summary</w:t>
      </w:r>
    </w:p>
    <w:p w:rsidR="00DC7F06" w:rsidRPr="00DC7F06" w:rsidRDefault="00DC7F06" w:rsidP="00DC7F06">
      <w:pPr>
        <w:spacing w:after="0" w:line="240" w:lineRule="auto"/>
        <w:rPr>
          <w:rFonts w:ascii="Arial" w:eastAsia="Times New Roman" w:hAnsi="Arial" w:cs="Times New Roman"/>
          <w:sz w:val="24"/>
          <w:szCs w:val="24"/>
        </w:rPr>
      </w:pPr>
    </w:p>
    <w:tbl>
      <w:tblPr>
        <w:tblW w:w="961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42"/>
        <w:gridCol w:w="4111"/>
        <w:gridCol w:w="2551"/>
      </w:tblGrid>
      <w:tr w:rsidR="00DC7F06" w:rsidRPr="00DC7F06" w:rsidTr="003E4AAC">
        <w:trPr>
          <w:trHeight w:val="633"/>
        </w:trPr>
        <w:tc>
          <w:tcPr>
            <w:tcW w:w="7062" w:type="dxa"/>
            <w:gridSpan w:val="3"/>
            <w:shd w:val="clear" w:color="auto" w:fill="D9D9D9"/>
            <w:vAlign w:val="center"/>
          </w:tcPr>
          <w:p w:rsidR="00DC7F06" w:rsidRPr="00DC7F06" w:rsidRDefault="00DC7F06" w:rsidP="00DC7F06">
            <w:pPr>
              <w:spacing w:after="0" w:line="240" w:lineRule="auto"/>
              <w:jc w:val="center"/>
              <w:rPr>
                <w:rFonts w:ascii="Arial" w:eastAsia="Times New Roman" w:hAnsi="Arial" w:cs="Arial"/>
                <w:b/>
                <w:sz w:val="24"/>
                <w:szCs w:val="24"/>
              </w:rPr>
            </w:pPr>
            <w:r w:rsidRPr="00DC7F06">
              <w:rPr>
                <w:rFonts w:ascii="Arial" w:eastAsia="Times New Roman" w:hAnsi="Arial" w:cs="Arial"/>
                <w:b/>
                <w:sz w:val="24"/>
                <w:szCs w:val="24"/>
              </w:rPr>
              <w:t>Recommendation</w:t>
            </w:r>
          </w:p>
        </w:tc>
        <w:tc>
          <w:tcPr>
            <w:tcW w:w="2551" w:type="dxa"/>
            <w:shd w:val="clear" w:color="auto" w:fill="D9D9D9"/>
            <w:vAlign w:val="center"/>
          </w:tcPr>
          <w:p w:rsidR="00DC7F06" w:rsidRPr="00DC7F06" w:rsidRDefault="00DC7F06" w:rsidP="00DC7F06">
            <w:pPr>
              <w:spacing w:after="0" w:line="240" w:lineRule="auto"/>
              <w:jc w:val="center"/>
              <w:rPr>
                <w:rFonts w:ascii="Arial" w:eastAsia="Times New Roman" w:hAnsi="Arial" w:cs="Arial"/>
                <w:b/>
                <w:sz w:val="24"/>
                <w:szCs w:val="24"/>
              </w:rPr>
            </w:pPr>
            <w:r w:rsidRPr="00DC7F06">
              <w:rPr>
                <w:rFonts w:ascii="Arial" w:eastAsia="Times New Roman" w:hAnsi="Arial" w:cs="Arial"/>
                <w:b/>
                <w:sz w:val="24"/>
                <w:szCs w:val="24"/>
              </w:rPr>
              <w:t>Status</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extends the exemption criteria within the Local Connection Policy to provide a more comprehensive narrative and make clear that discretion may be used to offer a local connection to a person in circumstances where:</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numPr>
                <w:ilvl w:val="0"/>
                <w:numId w:val="1"/>
              </w:numPr>
              <w:spacing w:beforeLines="40" w:before="96" w:afterLines="40" w:after="96" w:line="240" w:lineRule="auto"/>
              <w:ind w:left="426" w:hanging="426"/>
              <w:contextualSpacing/>
              <w:rPr>
                <w:rFonts w:ascii="Arial" w:eastAsia="Times New Roman" w:hAnsi="Arial" w:cs="Arial"/>
                <w:sz w:val="24"/>
                <w:szCs w:val="24"/>
              </w:rPr>
            </w:pPr>
            <w:r w:rsidRPr="00DC7F06">
              <w:rPr>
                <w:rFonts w:ascii="Arial" w:eastAsia="Times New Roman" w:hAnsi="Arial" w:cs="Arial"/>
                <w:sz w:val="24"/>
                <w:szCs w:val="24"/>
              </w:rPr>
              <w:t>They are known by the Council to have slept rough or ‘sofa surfed’ in Oxford for a continuous period in excess of 6 months, with no clear prospect of reconnection to another local authority area.</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numPr>
                <w:ilvl w:val="0"/>
                <w:numId w:val="1"/>
              </w:numPr>
              <w:spacing w:beforeLines="40" w:before="96" w:afterLines="40" w:after="96" w:line="240" w:lineRule="auto"/>
              <w:ind w:left="426" w:hanging="426"/>
              <w:contextualSpacing/>
              <w:rPr>
                <w:rFonts w:ascii="Arial" w:eastAsia="Times New Roman" w:hAnsi="Arial" w:cs="Arial"/>
                <w:sz w:val="24"/>
                <w:szCs w:val="24"/>
              </w:rPr>
            </w:pPr>
            <w:r w:rsidRPr="00DC7F06">
              <w:rPr>
                <w:rFonts w:ascii="Arial" w:eastAsia="Times New Roman" w:hAnsi="Arial" w:cs="Arial"/>
                <w:sz w:val="24"/>
                <w:szCs w:val="24"/>
              </w:rPr>
              <w:t xml:space="preserve">They are known by the Council to be fleeing violence from another area within the UK, with no clear prospect of reconnection to another local authority area that is considered safe. </w:t>
            </w:r>
          </w:p>
        </w:tc>
        <w:tc>
          <w:tcPr>
            <w:tcW w:w="2551" w:type="dxa"/>
            <w:shd w:val="clear" w:color="auto" w:fill="C2D69B"/>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Already implemented</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3: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the Council grants a local connection to people confirmed as sustaining a contracted voluntary role within the City for a period of 6 months. </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Implementation in progress </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4: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extends the close relatives connection criteria to include first cousins, grandparents and grandchildren. Deceased family members in the immediate family (mother, father, brother, sister or children) should also be explicitly referenced in the policy as providing a connection.</w:t>
            </w:r>
          </w:p>
        </w:tc>
        <w:tc>
          <w:tcPr>
            <w:tcW w:w="2551" w:type="dxa"/>
            <w:shd w:val="clear" w:color="auto" w:fill="BFBFBF"/>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Not implemented</w:t>
            </w:r>
          </w:p>
          <w:p w:rsidR="00DC7F06" w:rsidRPr="00DC7F06" w:rsidRDefault="00DC7F06" w:rsidP="00DC7F06">
            <w:pPr>
              <w:spacing w:beforeLines="40" w:before="96" w:afterLines="40" w:after="96" w:line="240" w:lineRule="auto"/>
              <w:rPr>
                <w:rFonts w:ascii="Arial" w:eastAsia="Times New Roman" w:hAnsi="Arial" w:cs="Arial"/>
                <w:sz w:val="24"/>
                <w:szCs w:val="24"/>
              </w:rPr>
            </w:pP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5: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a person’s stay into institutions such as hospital, prison or rehab should not invalidate their local connection. Specifically, time spent in these institutions should not affect a person’s residency connection time (six out of the last twelve months or three out of the last five years), and entry and exit into these institutions should ‘freeze’ the accounting period. </w:t>
            </w:r>
          </w:p>
        </w:tc>
        <w:tc>
          <w:tcPr>
            <w:tcW w:w="2551" w:type="dxa"/>
            <w:shd w:val="clear" w:color="auto" w:fill="C2D69B"/>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Already implemented</w:t>
            </w:r>
          </w:p>
        </w:tc>
      </w:tr>
      <w:tr w:rsidR="00DC7F06" w:rsidRPr="00DC7F06" w:rsidTr="003E4AAC">
        <w:trPr>
          <w:trHeight w:val="1290"/>
        </w:trPr>
        <w:tc>
          <w:tcPr>
            <w:tcW w:w="2809" w:type="dxa"/>
            <w:vMerge w:val="restart"/>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9: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makes representations to the other Oxfordshire District Councils to:</w:t>
            </w:r>
          </w:p>
          <w:p w:rsidR="00DC7F06" w:rsidRPr="00DC7F06" w:rsidRDefault="00DC7F06" w:rsidP="00DC7F06">
            <w:pPr>
              <w:spacing w:beforeLines="40" w:before="96" w:afterLines="40" w:after="96" w:line="240" w:lineRule="auto"/>
              <w:rPr>
                <w:rFonts w:ascii="Arial" w:eastAsia="Times New Roman" w:hAnsi="Arial" w:cs="Arial"/>
                <w:sz w:val="24"/>
                <w:szCs w:val="24"/>
              </w:rPr>
            </w:pPr>
          </w:p>
        </w:tc>
        <w:tc>
          <w:tcPr>
            <w:tcW w:w="4253" w:type="dxa"/>
            <w:gridSpan w:val="2"/>
            <w:shd w:val="clear" w:color="auto" w:fill="auto"/>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a) Increase their funding for bed spaces in O’Hanlon House, particularly for those individuals with complex needs.</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1290"/>
        </w:trPr>
        <w:tc>
          <w:tcPr>
            <w:tcW w:w="2809" w:type="dxa"/>
            <w:vMerge/>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p>
        </w:tc>
        <w:tc>
          <w:tcPr>
            <w:tcW w:w="4253" w:type="dxa"/>
            <w:gridSpan w:val="2"/>
            <w:shd w:val="clear" w:color="auto" w:fill="auto"/>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b) Adopt any changes agreed to Oxford’s Local Connection Policy, and that any agreed changes be updated in the Oxfordshire Adult Homeless Pathway Common Operational Protocol.</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1290"/>
        </w:trPr>
        <w:tc>
          <w:tcPr>
            <w:tcW w:w="2809" w:type="dxa"/>
            <w:vMerge/>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p>
        </w:tc>
        <w:tc>
          <w:tcPr>
            <w:tcW w:w="4253" w:type="dxa"/>
            <w:gridSpan w:val="2"/>
            <w:shd w:val="clear" w:color="auto" w:fill="auto"/>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c) Collectively review the system for allocating bed spaces to remove procedural barriers to ‘lending’ beds between the Oxfordshire District Councils, to adjust for varying demand between the localities.</w:t>
            </w:r>
          </w:p>
        </w:tc>
        <w:tc>
          <w:tcPr>
            <w:tcW w:w="2551" w:type="dxa"/>
            <w:shd w:val="clear" w:color="auto" w:fill="C2D69B"/>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sz w:val="24"/>
                <w:szCs w:val="24"/>
              </w:rPr>
              <w:t>Already implemented</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10: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an individual’s refusal to engage with the Council, or to reconnect to another area, should not restrict their access to the sit-up service, except in circumstances where they pose a risk to the safety or progress of other people using the service.</w:t>
            </w: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contextualSpacing/>
              <w:rPr>
                <w:rFonts w:ascii="Arial" w:eastAsia="Times New Roman" w:hAnsi="Arial" w:cs="Arial"/>
                <w:b/>
                <w:sz w:val="24"/>
                <w:szCs w:val="24"/>
              </w:rPr>
            </w:pPr>
            <w:r w:rsidRPr="00DC7F06">
              <w:rPr>
                <w:rFonts w:ascii="Arial" w:eastAsia="Times New Roman" w:hAnsi="Arial" w:cs="Arial"/>
                <w:b/>
                <w:sz w:val="24"/>
                <w:szCs w:val="24"/>
              </w:rPr>
              <w:t xml:space="preserve">Recommendation 11: </w:t>
            </w:r>
          </w:p>
          <w:p w:rsidR="00DC7F06" w:rsidRPr="00DC7F06" w:rsidRDefault="00DC7F06" w:rsidP="00DC7F06">
            <w:p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 xml:space="preserve">That the Council trials a reconnection log for 12 months to monitor the outcomes and effectiveness of reconnections to other areas. The reconnection log should be presented to the Housing Panel when there is sufficient data to draw conclusions. </w:t>
            </w:r>
          </w:p>
          <w:p w:rsidR="00DC7F06" w:rsidRPr="00DC7F06" w:rsidRDefault="00DC7F06" w:rsidP="00DC7F06">
            <w:p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 xml:space="preserve">Note:  members </w:t>
            </w:r>
            <w:proofErr w:type="gramStart"/>
            <w:r w:rsidRPr="00DC7F06">
              <w:rPr>
                <w:rFonts w:ascii="Arial" w:eastAsia="Times New Roman" w:hAnsi="Arial" w:cs="Arial"/>
                <w:sz w:val="24"/>
                <w:szCs w:val="24"/>
              </w:rPr>
              <w:t>raised</w:t>
            </w:r>
            <w:proofErr w:type="gramEnd"/>
            <w:r w:rsidRPr="00DC7F06">
              <w:rPr>
                <w:rFonts w:ascii="Arial" w:eastAsia="Times New Roman" w:hAnsi="Arial" w:cs="Arial"/>
                <w:sz w:val="24"/>
                <w:szCs w:val="24"/>
              </w:rPr>
              <w:t xml:space="preserve"> that people being reconnected could also be asked to report back.</w:t>
            </w:r>
          </w:p>
        </w:tc>
        <w:tc>
          <w:tcPr>
            <w:tcW w:w="2551" w:type="dxa"/>
            <w:shd w:val="clear" w:color="auto" w:fill="FBD4B4"/>
          </w:tcPr>
          <w:p w:rsidR="00DC7F06" w:rsidRPr="00DC7F06" w:rsidRDefault="00DC7F06" w:rsidP="00DC7F06">
            <w:p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12: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commissions a report to be brought forward in 2019 setting out options for establishing a county wide reconnection service having regard to lessons that can be learnt from the London-wide reconnection service. Additional comment by Members to consider the pan-London reconnection approach and any lessons that can be learnt from there.</w:t>
            </w:r>
          </w:p>
        </w:tc>
        <w:tc>
          <w:tcPr>
            <w:tcW w:w="2551" w:type="dxa"/>
            <w:shd w:val="clear" w:color="auto" w:fill="BFBFBF"/>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Not implemented</w:t>
            </w:r>
          </w:p>
        </w:tc>
      </w:tr>
      <w:tr w:rsidR="00DC7F06" w:rsidRPr="00DC7F06" w:rsidTr="003E4AAC">
        <w:trPr>
          <w:trHeight w:val="305"/>
        </w:trPr>
        <w:tc>
          <w:tcPr>
            <w:tcW w:w="7062" w:type="dxa"/>
            <w:gridSpan w:val="3"/>
            <w:shd w:val="clear" w:color="auto" w:fill="auto"/>
          </w:tcPr>
          <w:p w:rsidR="00DC7F06" w:rsidRPr="00DC7F06" w:rsidRDefault="00DC7F06" w:rsidP="00DC7F06">
            <w:pPr>
              <w:numPr>
                <w:ilvl w:val="0"/>
                <w:numId w:val="2"/>
              </w:num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Accept any person onto the General Register who is confirmed as having lived in supported accommodation continuously within Oxford for more than 6 months, including accommodation services that are recognised but not directly funded by the Council.</w:t>
            </w:r>
          </w:p>
        </w:tc>
        <w:tc>
          <w:tcPr>
            <w:tcW w:w="2551" w:type="dxa"/>
            <w:shd w:val="clear" w:color="auto" w:fill="76923C"/>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Already implemented</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15: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the Council continues to commission at least one female only overnight accommodation provider in the Adult Homeless Pathway and keeps demand for this provision under review. Opportunities should be sought to extend this provision for women with no local connection where possible, if further spaces are needed to meet demand.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1935"/>
        </w:trPr>
        <w:tc>
          <w:tcPr>
            <w:tcW w:w="2951" w:type="dxa"/>
            <w:gridSpan w:val="2"/>
            <w:vMerge w:val="restart"/>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Recommendation 16:</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City Executive Board, as part of its budget setting process, identifies provision for:</w:t>
            </w:r>
          </w:p>
          <w:p w:rsidR="00DC7F06" w:rsidRPr="00DC7F06" w:rsidRDefault="00DC7F06" w:rsidP="00DC7F06">
            <w:pPr>
              <w:autoSpaceDE w:val="0"/>
              <w:autoSpaceDN w:val="0"/>
              <w:adjustRightInd w:val="0"/>
              <w:spacing w:beforeLines="40" w:before="96" w:afterLines="40" w:after="96" w:line="240" w:lineRule="auto"/>
              <w:ind w:left="284"/>
              <w:contextualSpacing/>
              <w:rPr>
                <w:rFonts w:ascii="Arial" w:eastAsia="Times New Roman" w:hAnsi="Arial" w:cs="Arial"/>
                <w:sz w:val="24"/>
                <w:szCs w:val="24"/>
              </w:rPr>
            </w:pPr>
          </w:p>
        </w:tc>
        <w:tc>
          <w:tcPr>
            <w:tcW w:w="4111" w:type="dxa"/>
            <w:shd w:val="clear" w:color="auto" w:fill="auto"/>
          </w:tcPr>
          <w:p w:rsidR="00DC7F06" w:rsidRPr="00DC7F06" w:rsidRDefault="00DC7F06" w:rsidP="00DC7F06">
            <w:pPr>
              <w:spacing w:beforeLines="40" w:before="96" w:afterLines="40" w:after="96" w:line="240" w:lineRule="auto"/>
              <w:ind w:left="284" w:hanging="284"/>
              <w:contextualSpacing/>
              <w:rPr>
                <w:rFonts w:ascii="Arial" w:eastAsia="Times New Roman" w:hAnsi="Arial" w:cs="Arial"/>
                <w:sz w:val="24"/>
                <w:szCs w:val="24"/>
              </w:rPr>
            </w:pPr>
          </w:p>
          <w:p w:rsidR="00DC7F06" w:rsidRPr="00DC7F06" w:rsidRDefault="00DC7F06" w:rsidP="00DC7F06">
            <w:pPr>
              <w:numPr>
                <w:ilvl w:val="0"/>
                <w:numId w:val="3"/>
              </w:numPr>
              <w:autoSpaceDE w:val="0"/>
              <w:autoSpaceDN w:val="0"/>
              <w:adjustRightInd w:val="0"/>
              <w:spacing w:beforeLines="40" w:before="96" w:afterLines="40" w:after="96" w:line="240" w:lineRule="auto"/>
              <w:ind w:left="284" w:hanging="284"/>
              <w:contextualSpacing/>
              <w:rPr>
                <w:rFonts w:ascii="Arial" w:eastAsia="Times New Roman" w:hAnsi="Arial" w:cs="Arial"/>
                <w:sz w:val="24"/>
                <w:szCs w:val="24"/>
              </w:rPr>
            </w:pPr>
            <w:r w:rsidRPr="00DC7F06">
              <w:rPr>
                <w:rFonts w:ascii="Arial" w:eastAsia="Times New Roman" w:hAnsi="Arial" w:cs="Arial"/>
                <w:sz w:val="24"/>
                <w:szCs w:val="24"/>
              </w:rPr>
              <w:t xml:space="preserve">Free room hire and refreshments for a female homelessness forum. The Council should also ensure these women’s views are represented within the Council’s decision making process on homelessness issues.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1935"/>
        </w:trPr>
        <w:tc>
          <w:tcPr>
            <w:tcW w:w="2951" w:type="dxa"/>
            <w:gridSpan w:val="2"/>
            <w:vMerge/>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p>
        </w:tc>
        <w:tc>
          <w:tcPr>
            <w:tcW w:w="4111" w:type="dxa"/>
            <w:shd w:val="clear" w:color="auto" w:fill="auto"/>
          </w:tcPr>
          <w:p w:rsidR="00DC7F06" w:rsidRPr="00DC7F06" w:rsidRDefault="00DC7F06" w:rsidP="00DC7F06">
            <w:pPr>
              <w:numPr>
                <w:ilvl w:val="0"/>
                <w:numId w:val="3"/>
              </w:numPr>
              <w:autoSpaceDE w:val="0"/>
              <w:autoSpaceDN w:val="0"/>
              <w:adjustRightInd w:val="0"/>
              <w:spacing w:beforeLines="40" w:before="96" w:afterLines="40" w:after="96" w:line="240" w:lineRule="auto"/>
              <w:ind w:left="284" w:hanging="284"/>
              <w:contextualSpacing/>
              <w:rPr>
                <w:rFonts w:ascii="Arial" w:eastAsia="Times New Roman" w:hAnsi="Arial" w:cs="Arial"/>
                <w:sz w:val="24"/>
                <w:szCs w:val="24"/>
              </w:rPr>
            </w:pPr>
            <w:r w:rsidRPr="00DC7F06">
              <w:rPr>
                <w:rFonts w:ascii="Arial" w:eastAsia="Times New Roman" w:hAnsi="Arial" w:cs="Arial"/>
                <w:sz w:val="24"/>
                <w:szCs w:val="24"/>
              </w:rPr>
              <w:t>Free sanitary products to be available for women experiencing homelessness 24 hours a day. The location of distribution for these products should be agreed in liaison with women currently experiencing homelessness.</w:t>
            </w:r>
          </w:p>
        </w:tc>
        <w:tc>
          <w:tcPr>
            <w:tcW w:w="2551" w:type="dxa"/>
            <w:shd w:val="clear" w:color="auto" w:fill="C2D69B"/>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Already implemented</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17: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makes on site provision for domestic pets a material consideration as part of the supported accommodation commissioning process.</w:t>
            </w:r>
          </w:p>
          <w:p w:rsidR="00DC7F06" w:rsidRPr="00DC7F06" w:rsidRDefault="00DC7F06" w:rsidP="00DC7F06">
            <w:pPr>
              <w:spacing w:beforeLines="40" w:before="96" w:afterLines="40" w:after="96" w:line="240" w:lineRule="auto"/>
              <w:ind w:left="426" w:hanging="426"/>
              <w:rPr>
                <w:rFonts w:ascii="Arial" w:eastAsia="Times New Roman" w:hAnsi="Arial" w:cs="Arial"/>
                <w:sz w:val="24"/>
                <w:szCs w:val="24"/>
              </w:rPr>
            </w:pPr>
          </w:p>
        </w:tc>
        <w:tc>
          <w:tcPr>
            <w:tcW w:w="2551" w:type="dxa"/>
            <w:shd w:val="clear" w:color="auto" w:fill="FBD4B4"/>
          </w:tcPr>
          <w:p w:rsidR="00DC7F06" w:rsidRPr="00DC7F06" w:rsidRDefault="00DC7F06" w:rsidP="00DC7F06">
            <w:pPr>
              <w:spacing w:beforeLines="40" w:before="96" w:afterLines="40" w:after="96" w:line="240" w:lineRule="auto"/>
              <w:ind w:left="426" w:hanging="426"/>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18: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the Council engages with Crisis and the City Conversation to see what further opportunities exist for piloting innovative Housing First and Critical Time Intervention programmes, given their rates of success and relative cost-benefit ratios.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20: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the Council writes to Central Government to welcome the new funding made available through MHCLG this year, and lobby for greater assurance about the necessity of long term funding to sustain new support services which will help deliver their Rough Sleeping Strategy.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21: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all future Council policy documents referencing homelessness should recognise the net positive contribution that people experiencing homelessness can make (e.g. the skills, experience and diversity they bring). Homeless people themselves should not be framed in a negative light and this should be reflected in the Council’s communication’s plans.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22: </w:t>
            </w:r>
          </w:p>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 xml:space="preserve">That the Council recognises the value someone’s homelessness experience can potentially bring to the employed officer workforce, and that it be given due weight in the recruitment process for staff supporting the homelessness function. </w:t>
            </w:r>
          </w:p>
        </w:tc>
        <w:tc>
          <w:tcPr>
            <w:tcW w:w="2551" w:type="dxa"/>
            <w:shd w:val="clear" w:color="auto" w:fill="FBD4B4"/>
          </w:tcPr>
          <w:p w:rsidR="00DC7F06" w:rsidRPr="00DC7F06" w:rsidRDefault="00DC7F06" w:rsidP="00DC7F06">
            <w:pPr>
              <w:autoSpaceDE w:val="0"/>
              <w:autoSpaceDN w:val="0"/>
              <w:adjustRightInd w:val="0"/>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rPr>
                <w:rFonts w:ascii="Arial" w:eastAsia="Times New Roman" w:hAnsi="Arial" w:cs="Arial"/>
                <w:b/>
                <w:sz w:val="24"/>
                <w:szCs w:val="24"/>
              </w:rPr>
            </w:pPr>
            <w:r w:rsidRPr="00DC7F06">
              <w:rPr>
                <w:rFonts w:ascii="Arial" w:eastAsia="Times New Roman" w:hAnsi="Arial" w:cs="Arial"/>
                <w:b/>
                <w:sz w:val="24"/>
                <w:szCs w:val="24"/>
              </w:rPr>
              <w:t xml:space="preserve">Recommendation 23: </w:t>
            </w:r>
          </w:p>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t>That the Council revisits its approach to communicating with people experiencing homelessness, local service providers and the public to better convey information about the Local Connection Policy, how it is applied, and what wider support services are available in the City. Any significant changes (</w:t>
            </w:r>
            <w:proofErr w:type="spellStart"/>
            <w:r w:rsidRPr="00DC7F06">
              <w:rPr>
                <w:rFonts w:ascii="Arial" w:eastAsia="Times New Roman" w:hAnsi="Arial" w:cs="Arial"/>
                <w:sz w:val="24"/>
                <w:szCs w:val="24"/>
              </w:rPr>
              <w:t>e.g</w:t>
            </w:r>
            <w:proofErr w:type="spellEnd"/>
            <w:r w:rsidRPr="00DC7F06">
              <w:rPr>
                <w:rFonts w:ascii="Arial" w:eastAsia="Times New Roman" w:hAnsi="Arial" w:cs="Arial"/>
                <w:sz w:val="24"/>
                <w:szCs w:val="24"/>
              </w:rPr>
              <w:t xml:space="preserve"> a new notice board or public leaflet) should be presented to the Housing Panel for comment prior to implementation.</w:t>
            </w:r>
          </w:p>
          <w:p w:rsidR="00DC7F06" w:rsidRPr="00DC7F06" w:rsidRDefault="00DC7F06" w:rsidP="00DC7F06">
            <w:pPr>
              <w:spacing w:beforeLines="40" w:before="96" w:afterLines="40" w:after="96" w:line="240" w:lineRule="auto"/>
              <w:rPr>
                <w:rFonts w:ascii="Arial" w:eastAsia="Times New Roman" w:hAnsi="Arial" w:cs="Arial"/>
                <w:sz w:val="24"/>
                <w:szCs w:val="24"/>
              </w:rPr>
            </w:pPr>
          </w:p>
        </w:tc>
        <w:tc>
          <w:tcPr>
            <w:tcW w:w="2551" w:type="dxa"/>
            <w:shd w:val="clear" w:color="auto" w:fill="FBD4B4"/>
          </w:tcPr>
          <w:p w:rsidR="00DC7F06" w:rsidRPr="00DC7F06" w:rsidRDefault="00DC7F06" w:rsidP="00DC7F06">
            <w:pPr>
              <w:spacing w:beforeLines="40" w:before="96" w:afterLines="40" w:after="96" w:line="240" w:lineRule="auto"/>
              <w:rPr>
                <w:rFonts w:ascii="Arial" w:eastAsia="Times New Roman" w:hAnsi="Arial" w:cs="Arial"/>
                <w:sz w:val="24"/>
                <w:szCs w:val="24"/>
              </w:rPr>
            </w:pPr>
            <w:r w:rsidRPr="00DC7F06">
              <w:rPr>
                <w:rFonts w:ascii="Arial" w:eastAsia="Times New Roman" w:hAnsi="Arial" w:cs="Arial"/>
                <w:sz w:val="24"/>
                <w:szCs w:val="24"/>
              </w:rPr>
              <w:lastRenderedPageBreak/>
              <w:t>Implementation in progress</w:t>
            </w:r>
          </w:p>
        </w:tc>
      </w:tr>
      <w:tr w:rsidR="00DC7F06" w:rsidRPr="00DC7F06" w:rsidTr="003E4AAC">
        <w:trPr>
          <w:trHeight w:val="305"/>
        </w:trPr>
        <w:tc>
          <w:tcPr>
            <w:tcW w:w="7062" w:type="dxa"/>
            <w:gridSpan w:val="3"/>
            <w:shd w:val="clear" w:color="auto" w:fill="auto"/>
          </w:tcPr>
          <w:p w:rsidR="00DC7F06" w:rsidRPr="00DC7F06" w:rsidRDefault="00DC7F06" w:rsidP="00DC7F06">
            <w:pPr>
              <w:spacing w:beforeLines="40" w:before="96" w:afterLines="40" w:after="96" w:line="240" w:lineRule="auto"/>
              <w:contextualSpacing/>
              <w:rPr>
                <w:rFonts w:ascii="Arial" w:eastAsia="Times New Roman" w:hAnsi="Arial" w:cs="Arial"/>
                <w:b/>
                <w:sz w:val="24"/>
                <w:szCs w:val="24"/>
              </w:rPr>
            </w:pPr>
            <w:r w:rsidRPr="00DC7F06">
              <w:rPr>
                <w:rFonts w:ascii="Arial" w:eastAsia="Times New Roman" w:hAnsi="Arial" w:cs="Arial"/>
                <w:b/>
                <w:sz w:val="24"/>
                <w:szCs w:val="24"/>
              </w:rPr>
              <w:lastRenderedPageBreak/>
              <w:t xml:space="preserve">Recommendation 25: </w:t>
            </w:r>
          </w:p>
          <w:p w:rsidR="00DC7F06" w:rsidRPr="00DC7F06" w:rsidRDefault="00DC7F06" w:rsidP="00DC7F06">
            <w:p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That the Board Member responsible for Homelessness considers attending the quarterly contract management meetings of the largest supported accommodation provider(s) commissioned by the Council.</w:t>
            </w:r>
          </w:p>
        </w:tc>
        <w:tc>
          <w:tcPr>
            <w:tcW w:w="2551" w:type="dxa"/>
            <w:shd w:val="clear" w:color="auto" w:fill="C2D69B"/>
          </w:tcPr>
          <w:p w:rsidR="00DC7F06" w:rsidRPr="00DC7F06" w:rsidRDefault="00DC7F06" w:rsidP="00DC7F06">
            <w:pPr>
              <w:spacing w:beforeLines="40" w:before="96" w:afterLines="40" w:after="96" w:line="240" w:lineRule="auto"/>
              <w:contextualSpacing/>
              <w:rPr>
                <w:rFonts w:ascii="Arial" w:eastAsia="Times New Roman" w:hAnsi="Arial" w:cs="Arial"/>
                <w:sz w:val="24"/>
                <w:szCs w:val="24"/>
              </w:rPr>
            </w:pPr>
            <w:r w:rsidRPr="00DC7F06">
              <w:rPr>
                <w:rFonts w:ascii="Arial" w:eastAsia="Times New Roman" w:hAnsi="Arial" w:cs="Arial"/>
                <w:sz w:val="24"/>
                <w:szCs w:val="24"/>
              </w:rPr>
              <w:t>Already implemented</w:t>
            </w:r>
          </w:p>
        </w:tc>
      </w:tr>
    </w:tbl>
    <w:p w:rsidR="00DC7F06" w:rsidRPr="00DC7F06" w:rsidRDefault="00DC7F06" w:rsidP="00DC7F06">
      <w:pPr>
        <w:spacing w:after="0" w:line="240" w:lineRule="auto"/>
        <w:rPr>
          <w:rFonts w:ascii="Arial" w:eastAsia="Times New Roman" w:hAnsi="Arial" w:cs="Times New Roman"/>
          <w:sz w:val="24"/>
          <w:szCs w:val="24"/>
        </w:rPr>
      </w:pPr>
    </w:p>
    <w:p w:rsidR="00CE2985" w:rsidRDefault="00DC7F06">
      <w:bookmarkStart w:id="0" w:name="_GoBack"/>
      <w:bookmarkEnd w:id="0"/>
    </w:p>
    <w:sectPr w:rsidR="00CE2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498B"/>
    <w:multiLevelType w:val="hybridMultilevel"/>
    <w:tmpl w:val="8B86F7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06"/>
    <w:rsid w:val="009A081E"/>
    <w:rsid w:val="00DC7F06"/>
    <w:rsid w:val="00E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62A08411</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2019-06-18T10:27:00Z</dcterms:created>
  <dcterms:modified xsi:type="dcterms:W3CDTF">2019-06-18T10:27:00Z</dcterms:modified>
</cp:coreProperties>
</file>